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709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  <w:gridCol w:w="358"/>
      </w:tblGrid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BD589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BD589E" w:rsidRDefault="005301DC" w:rsidP="00CB1C60">
                  <w:pPr>
                    <w:framePr w:hSpace="45" w:wrap="around" w:vAnchor="text" w:hAnchor="text" w:x="-709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vAlign w:val="center"/>
            <w:hideMark/>
          </w:tcPr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5301DC" w:rsidRPr="00BD589E" w:rsidTr="009C5A64">
        <w:trPr>
          <w:gridAfter w:val="1"/>
          <w:wAfter w:w="178" w:type="pct"/>
          <w:tblCellSpacing w:w="0" w:type="dxa"/>
        </w:trPr>
        <w:tc>
          <w:tcPr>
            <w:tcW w:w="4822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7"/>
            </w:tblGrid>
            <w:tr w:rsidR="005301DC" w:rsidRPr="00BD589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BD589E" w:rsidRDefault="005301DC" w:rsidP="009C5A6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301DC" w:rsidRPr="00BD589E" w:rsidRDefault="005301DC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BD589E" w:rsidTr="009C5A64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16CC9" w:rsidRPr="00BD589E" w:rsidRDefault="00016CC9" w:rsidP="009C5A64">
            <w:pPr>
              <w:spacing w:after="0" w:line="240" w:lineRule="auto"/>
              <w:rPr>
                <w:rFonts w:ascii="Verdana" w:eastAsia="Times New Roman" w:hAnsi="Verdana"/>
                <w:color w:val="7E898D"/>
                <w:sz w:val="20"/>
                <w:szCs w:val="20"/>
                <w:lang w:eastAsia="ru-RU"/>
              </w:rPr>
            </w:pPr>
          </w:p>
        </w:tc>
      </w:tr>
      <w:tr w:rsidR="00016CC9" w:rsidRPr="00691B2E" w:rsidTr="009C5A64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016CC9" w:rsidRPr="00691B2E" w:rsidTr="00BD589E">
              <w:trPr>
                <w:trHeight w:val="12333"/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1F27E0" w:rsidRPr="00691B2E" w:rsidRDefault="00A713A7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 дома со встроено-пристроенными помещениями</w:t>
                  </w:r>
                  <w:bookmarkEnd w:id="0"/>
                  <w:bookmarkEnd w:id="1"/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и пристроенн</w:t>
                  </w:r>
                  <w:r w:rsidR="00DF75E2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ой автостоянкой</w:t>
                  </w:r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 w:rsidRPr="00691B2E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по адресу </w:t>
                  </w:r>
                  <w:proofErr w:type="spellStart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анкт</w:t>
                  </w:r>
                  <w:proofErr w:type="spellEnd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, </w:t>
                  </w:r>
                  <w:r w:rsidR="00960FDA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Садовая 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ул., участок </w:t>
                  </w:r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1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(</w:t>
                  </w:r>
                  <w:r w:rsidR="00960FDA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севернее дома 17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литера А, корпус 28</w:t>
                  </w:r>
                  <w:r w:rsidR="00960FDA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-</w:t>
                  </w:r>
                  <w:r w:rsidR="00D63EF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Б</w:t>
                  </w:r>
                  <w:r w:rsidR="002921F3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)</w:t>
                  </w:r>
                </w:p>
                <w:p w:rsidR="00BD47A3" w:rsidRPr="00691B2E" w:rsidRDefault="00BD47A3" w:rsidP="009F33D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541AED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31 октября </w:t>
                  </w:r>
                  <w:r w:rsidR="00AF4F73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01</w:t>
                  </w:r>
                  <w:r w:rsidR="00F8612A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6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  </w:t>
                  </w:r>
                  <w:r w:rsidR="002921F3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9A7BDC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0FDA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9A7BDC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08</w:t>
                  </w:r>
                  <w:r w:rsidR="00DF75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611E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мая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D63EF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A4641B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2921F3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Юг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BB648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Малоохтинский</w:t>
                  </w:r>
                  <w:proofErr w:type="spellEnd"/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пр. д. 61А.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Адрес фактического местонахождения: 19</w:t>
                  </w:r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960FDA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</w:t>
                  </w:r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пл. Ал.</w:t>
                  </w:r>
                  <w:r w:rsidR="00541A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Невского</w:t>
                  </w:r>
                  <w:proofErr w:type="gramStart"/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,д</w:t>
                  </w:r>
                  <w:proofErr w:type="gramEnd"/>
                  <w:r w:rsidR="00B722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.2, лит. Е.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государственной регистрации застройщика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="008618FC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974EF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февраля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3974EF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серия 78 № 00</w:t>
                  </w:r>
                  <w:r w:rsidR="003974EF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7668257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основной государственный регистрационный номер 1</w:t>
                  </w:r>
                  <w:r w:rsidR="003974EF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107847044260</w:t>
                  </w:r>
                  <w:r w:rsidR="00DF2BF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7434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об учредителях (участниках) застройщика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77651A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бщество</w:t>
                  </w:r>
                  <w:r w:rsidR="0077651A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ограниченной ответственностью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«Норманн</w:t>
                  </w:r>
                  <w:r w:rsidR="0000174D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-Холдинг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- 100%</w:t>
                  </w:r>
                </w:p>
                <w:p w:rsidR="00A7700A" w:rsidRPr="00691B2E" w:rsidRDefault="00A713A7" w:rsidP="008176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строительство  многоквартирного жилого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и пристроенной автостоянкой  </w:t>
                  </w:r>
                  <w:r w:rsidR="008176D8" w:rsidRPr="00691B2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(</w:t>
                  </w:r>
                  <w:r w:rsidR="008176D8" w:rsidRPr="00691B2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8176D8" w:rsidRPr="00691B2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этап – секция 1 и этап </w:t>
                  </w:r>
                  <w:r w:rsidR="008176D8" w:rsidRPr="00691B2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8176D8" w:rsidRPr="00691B2E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 xml:space="preserve"> – секции 2,3,4,5)</w:t>
                  </w:r>
                  <w:r w:rsidR="008176D8" w:rsidRPr="00691B2E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по адресу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, Полевая ул., участок 1, (напротив дома 12, литера А, в квартале 2А, корпус 28). Плановый срок ввода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- 31.12.2013г.,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этап – 31.12.2014г.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Введены в эксплуатацию: 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06.06.2014г. на основании разрешения на ввод объекта в эксплуатацию № 78-0906в-2014, 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  <w:lang w:val="en-US"/>
                    </w:rPr>
                    <w:t>II</w:t>
                  </w:r>
                  <w:r w:rsidR="000F0FBE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этап – 22.01.2015г. на основании разрешения на ввод объекта в эксплуатацию № 78-0106в-2015.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Строительство  многоквартирного жилого</w:t>
                  </w:r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 дома со встроено-пристроенными помещениями по адресу</w:t>
                  </w:r>
                  <w:r w:rsidR="008176D8"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г</w:t>
                  </w:r>
                  <w:proofErr w:type="gram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.С</w:t>
                  </w:r>
                  <w:proofErr w:type="gram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анкт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-Петербург, поселок </w:t>
                  </w:r>
                  <w:proofErr w:type="spellStart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8176D8"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, Садовая  ул., участок 2, (севернее дома 17, литера А, корпус 28-А). Плановый срок ввода </w:t>
                  </w:r>
                  <w:r w:rsidR="008176D8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объекта в эксплуатацию – 31.12.2015г.</w:t>
                  </w:r>
                  <w:r w:rsidR="0026442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Введен в эксплуатацию  22.06.2016 г. на основании разрешения на ввод объекта в эксплуатацию  № 78-06-17-2016.</w:t>
                  </w:r>
                </w:p>
                <w:p w:rsidR="00A713A7" w:rsidRPr="00691B2E" w:rsidRDefault="00A713A7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color w:val="7E898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федеральным</w:t>
                  </w:r>
                  <w:r w:rsidR="00A33106" w:rsidRPr="00691B2E">
                    <w:rPr>
                      <w:rFonts w:ascii="Verdana" w:eastAsia="Times New Roman" w:hAnsi="Verdana"/>
                      <w:b/>
                      <w:color w:val="FFFFFF" w:themeColor="background1"/>
                      <w:sz w:val="20"/>
                      <w:szCs w:val="20"/>
                      <w:lang w:eastAsia="ru-RU"/>
                    </w:rPr>
                    <w:t>и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законом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сооружени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й прекращено с 1 января 2010 года. </w:t>
                  </w:r>
                </w:p>
                <w:p w:rsidR="004455D8" w:rsidRDefault="00A713A7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6.</w:t>
                  </w:r>
                  <w:r w:rsidR="006365CB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C0498C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6B4D88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периода</w:t>
                  </w:r>
                  <w:r w:rsidR="00C0498C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, размер кредиторской задолженности на дату </w:t>
                  </w:r>
                  <w:r w:rsidR="00BD589E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о</w:t>
                  </w:r>
                  <w:r w:rsidR="00C0498C"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публикования проектной декларации:</w:t>
                  </w:r>
                  <w:r w:rsidR="00C0498C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156C42" w:rsidRPr="00691B2E" w:rsidRDefault="00156C42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91B2E" w:rsidRPr="00691B2E" w:rsidRDefault="00691B2E" w:rsidP="00691B2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Финансовый результат по состоянию на 30.0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.2016 г. составил 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>5 706 тыс. руб. (Пять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миллион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 xml:space="preserve">ов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 xml:space="preserve">семьсот шесть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тысяч рублей).</w:t>
                  </w:r>
                </w:p>
                <w:p w:rsidR="00691B2E" w:rsidRDefault="00691B2E" w:rsidP="00691B2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Размер кредиторской задолженности по состоянию на 30.0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.2016 г.  составил 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 xml:space="preserve">95 935 тыс. руб. (Девяносто пять миллионов девятьсот тридцать четыре тысячи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рублей).</w:t>
                  </w:r>
                </w:p>
                <w:p w:rsidR="00156C42" w:rsidRPr="00691B2E" w:rsidRDefault="00156C42" w:rsidP="00691B2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F6D31" w:rsidRPr="00482234" w:rsidRDefault="00691B2E" w:rsidP="00482234">
                  <w:pPr>
                    <w:spacing w:after="0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Размер дебиторской задолженности по состоянию на 30.0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.2016 г.    составил 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>396 058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>Триста девяносто шесть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миллионов </w:t>
                  </w:r>
                  <w:r w:rsidR="005C23DB">
                    <w:rPr>
                      <w:rFonts w:ascii="Verdana" w:hAnsi="Verdana"/>
                      <w:sz w:val="20"/>
                      <w:szCs w:val="20"/>
                    </w:rPr>
                    <w:t>пятьдесят восемь тысяч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рублей).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проекте строительства</w:t>
                  </w:r>
                </w:p>
                <w:p w:rsidR="00392C20" w:rsidRPr="00691B2E" w:rsidRDefault="00392C20" w:rsidP="00392C20">
                  <w:pPr>
                    <w:pStyle w:val="3"/>
                    <w:tabs>
                      <w:tab w:val="left" w:pos="9690"/>
                    </w:tabs>
                    <w:spacing w:after="0"/>
                    <w:ind w:left="0" w:right="5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Pr="00691B2E">
                    <w:rPr>
                      <w:rFonts w:ascii="Verdana" w:hAnsi="Verdana"/>
                      <w:b/>
                      <w:sz w:val="20"/>
                      <w:szCs w:val="20"/>
                    </w:rPr>
                    <w:t>. Цель проекта строительства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18-ти этажного, в том числе  технический этаж (теплый чердак),  5-х секционного м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 встроено-пристроенными помещениями и пристроенной автостоянкой   по адресу г.</w:t>
                  </w:r>
                  <w:r w:rsidR="00891075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Санкт-Петербург, поселок </w:t>
                  </w:r>
                  <w:proofErr w:type="spellStart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, корпус 28-Б)  (далее - Объект).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392C20" w:rsidRPr="00691B2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</w:p>
                <w:p w:rsidR="00392C20" w:rsidRPr="00691B2E" w:rsidRDefault="00392C20" w:rsidP="00392C20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691B2E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8.1.1. Начало строительства –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2013 года</w:t>
                  </w:r>
                </w:p>
                <w:p w:rsidR="00392C20" w:rsidRPr="00691B2E" w:rsidRDefault="00691B2E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8.1.2. Окончание строительства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3E9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3E9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июль 2017</w:t>
                  </w:r>
                  <w:r w:rsidR="00392C20"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92C20"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Управления государственной экспертизы № 78-1-4-0141-13 от 05.04.2013 г.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78-06004120-2013  от «06» мая 2013 года выдано Службой Государственного строительного надзора и экспертизы Санкт-Петербурга. Срок действия разрешения - до «</w:t>
                  </w:r>
                  <w:r w:rsidR="00877B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877B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января</w:t>
                  </w:r>
                  <w:r w:rsidR="003D2922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877B0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bookmarkStart w:id="2" w:name="_GoBack"/>
                  <w:bookmarkEnd w:id="2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правах застройщика на земельный участок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Постановления Правительства Санкт-Петербурга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от 05.10.10г. № 1336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г., Договора аренды земельного участка на инвестиционных условиях 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№ 06/ЗКС-03319 от 08.12.2010г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>Собственник земельного участка</w:t>
                  </w:r>
                  <w:r w:rsidRPr="00691B2E">
                    <w:rPr>
                      <w:rFonts w:ascii="Verdana" w:eastAsia="Times New Roman" w:hAnsi="Verdana"/>
                      <w:bCs/>
                      <w:sz w:val="20"/>
                      <w:szCs w:val="20"/>
                      <w:lang w:eastAsia="ru-RU"/>
                    </w:rPr>
                    <w:t>:</w:t>
                  </w:r>
                  <w:r w:rsidRPr="00691B2E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город Санкт-Петербург.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13.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Информация о границах, площади и кадастровом номере земельного участка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Земельный участок площадью 10645,0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кадастровый номер - № 78:37:17414:12, ограничен: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запада – территорией проектируемого жилого дома (корпус 28-А);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с севера – территорией перспективной застройки;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востока – ул. 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Садовой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с юга – территорией спортивного стадиона «Искра».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14. Элементы благоустройства: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Площадки для игр детей и отдыха взрослого населения, а также занятий физкультурой с набивным покрытием  располагаются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Устройство проездов, открытых площадок и пристроенной  автостоянки  для хранения автомобилей. Для удобства прохода населения вокруг дома запроектированы тротуары и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отмостка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 асфальтобетонным покрытием. Предусмотрено устройство газонов с посадкой деревьев и кустарников, а также установка малых архитектурных  форм.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15.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Местоположение строящегося объекта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Строящийся объект расположен по адресу: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, Садовая ул., участок 1, (севернее дома 17, литера</w:t>
                  </w:r>
                  <w:proofErr w:type="gramStart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Pr="00691B2E">
                    <w:rPr>
                      <w:rFonts w:ascii="Verdana" w:hAnsi="Verdana" w:cs="Arial"/>
                      <w:sz w:val="20"/>
                      <w:szCs w:val="20"/>
                    </w:rPr>
                    <w:t>, корпус 28-Б).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Ближайшая станция метро – Рыбацкое.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16.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Объекта со встроенными помещениями  – 39 928,0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Общая площадь квартир в Объекте – 24 460,0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встроено-пристроенных помещений – 991,60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том числе общая площадь фитнес-центра – 490,70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общая площадь офисов – 500,90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площадь автостоянки – 3555.0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количество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-мест в автостоянке – 123 шт.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Общее количество к</w:t>
                  </w:r>
                  <w:r w:rsidR="00891075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вартир - 657 шт., в том числе: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 527 шт. в том числе студии – 326 шт.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- 130 шт.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Студи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и-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26,22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33,53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(с учетом балконов/лоджий);</w:t>
                  </w:r>
                </w:p>
                <w:p w:rsidR="00392C20" w:rsidRPr="00691B2E" w:rsidRDefault="00392C20" w:rsidP="00392C20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 36,28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46,30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(с учетом балконов/лоджий);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 53,80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 61,41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 (с учетом балконов/лоджий);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1 расположены помещения жилого дома (335,4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жилого дома (23,9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(7,2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(291,9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встроенно-пристроенное помещение –офис №4 (74,4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(12,0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(54,8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№5 (60,9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 тамбур (12,1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(44,2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верхнем техническом этаже  секции 1 (теплом чердаке) размещена вентиляционная камера подпора воздуха категория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пространство теплого чердака.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1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2 расположены  помещения жилого дома (321,5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(16,3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 комната технического персонала (6.8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(3,0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Л-1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противопожарная насосная (11,7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(23,6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насосная хозяйственно-питьевая (13,8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(222,7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; встроено-пристроенное помещение- офис №2 (60,5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(11,6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(13,9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(16,7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(15.1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офис № 3 (41,0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 тамбур (8,6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(29,2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(1,6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(1 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помещение закрытой автостоянки (18,9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.): коридор (5,8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Л-2 (эвакуация из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автоястоянки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 (13,1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).   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2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На верхнем техническом этаже секции 2 (теплом чердаке) размещена вентиляционная камера подпора воздуха категории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и пространство теплого чердака. 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3 расположены  помещения жилого дома (364,3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(347,9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кабельное помещение (16,4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.); встроенно-пристроенные помещения: фитнес-центр (235,5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):коридор (18,9 (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),раздевалка мужская (22,3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(6,0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тренажерный зал (61,3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.),инвентарная (4,4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тамбур (7.1.кв.м.), техническое помещение (4,0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.).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3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3 (теплом чердаке) размещена вентиляционная камера подпора воздуха в лифты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4 расположены  помещения жилого дома (289,9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(20,0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ИТП (58,0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техническое подполье (211,9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); встроенно-пристроенные помещения: фитнес-центр (246,7кв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(8,1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вестибуль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(26,8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гардеробная (7,7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комната персонала (9,5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зал аэробики (98,7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коридор (34,0кв.м), массажный кабинет (15,0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раздевалка женская (20,9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),душевая (9,1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персонала (2,0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семнадцатый этажи секции 4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4 (теплом чердаке) размещена вентиляционная камера подпора воздуха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подвальном этаже  секции 5 расположены помещения жилого дома (316,8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противопожарная насосная автостоянки (10,1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противопожарная насосная (4,4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водомерный узел (15,5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насосная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хоз.питьевая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(11,4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(13,7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кабельная (17,1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подполье (234,6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первом этаже  секции 5 расположены  помещения жилого дома (69,9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(3,0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вестибюль с лифтовым холлом (15.2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консьержа (13,7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санузел (2,1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уборочного инвентаря (2,2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мусорокамера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(5,8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.), лестница Л1 (12,4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(15,5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встроенно-пристроенные помещения: офис №1 (236,4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): тамбур (2,9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(19,8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(23,8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(27,9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(27,9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коридор (35,4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комната персонала (32,8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санузел (3,7кв.м), помещение уборочного инвентаря (3,7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офисное помещение (30,1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холл (11,9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(8,8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техническое помещение (4,3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); 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второго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 одиннадцатый этажи секции 5 распложены квартиры.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верхнем техническом этаже секции 5 (теплом чердаке) размещена вентиляционная камера подпора воздуха  и пространство теплого чердака. 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Надземная закрытая одноэтажная автостоянка  на 123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 запроектирована пристроенной к секциям 2,3,4 с западной стороны и к секции 1 – с южной стороны.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встроено-пристроенные помещения,  надземная закрытая одноэтажная автостоянка  на 123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-места.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18.</w:t>
                  </w:r>
                  <w:r w:rsidRPr="00691B2E">
                    <w:rPr>
                      <w:rFonts w:ascii="Verdana" w:eastAsia="Times New Roman" w:hAnsi="Verdana"/>
                      <w:i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участникам долевого строительства: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18.1. Лестница;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18.2. Холл, лифтовой холл;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18.3. Вспомогательные (технические) площади, обеспечивающие эксплуатацию здания –   насосная, водомерный узел,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лифтовая шахта, технический этаж и пр.;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18.4.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ВиК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 и пр.;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18.5. Внутриплощадочные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Предполагаемый срок получения разрешения на ввод в эксплуатацию строящегося многоквартирного дома: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64D5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июль 2017</w:t>
                  </w: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20.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Застройщик - ООО &lt;Норманн-Юг&gt;;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ООО &lt;Норманн-Заказчик&gt;;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 ООО &lt;Студия М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ООО &lt;Норманн-Строй&gt;;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Администрация 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Колпинского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района Санкт-Петербурга;</w:t>
                  </w:r>
                </w:p>
                <w:p w:rsidR="00392C20" w:rsidRPr="00691B2E" w:rsidRDefault="00A64D59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Служба государственного строительного надзора и экспертизы Санкт-Петербурга.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 </w:t>
                  </w:r>
                  <w:r w:rsidR="00392C20"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Возможные финансовые и прочие риски при осуществлении проекта строительства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392C20"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21.2.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21.3. Риск случайной гибели или случайного повреждения результата выполненных работ;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22. 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Меры по добровольному страхованию застройщиком финансовых и прочих рисков: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Договор страхования строительно-монтажных рисков (гражданской ответственности перед третьими лицами) от 04.07.2011 № 11184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D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003646, заключенный со Страховым Открытым Акционерным Обществом «ВСК».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23.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Планируемая стоимость строительства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1 383 672 000,42 рублей</w:t>
                  </w:r>
                </w:p>
                <w:p w:rsidR="00392C20" w:rsidRPr="00691B2E" w:rsidRDefault="00392C20" w:rsidP="00392C20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Перечень организаций, осуществляющих основные строительно-монтажные и другие работы: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&lt;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Стройтех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 - земляные работы;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&lt;Петербургская строительная компания&gt; - устройство монолитного каркаса и монтаж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сборных ЖБК, устройство наружных стен.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«ТЭК», ЗАО «Позитрон-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Энерго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ИТП и УУТЭ.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РемСтройСервис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Спб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 - устройство внутренних систем отопления и вентиляции, водоснабжения  и канализации.</w:t>
                  </w:r>
                </w:p>
                <w:p w:rsidR="00691B2E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ДорСтройИнвест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благоустройство прилегающей территории.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«Вертикаль» - устройство балконного остекления.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Бестстрой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наружных сетей  водоснабжения и канализации.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ЛифтМонтажСервис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 устройство и монтаж лифтового оборудования.</w:t>
                  </w:r>
                </w:p>
                <w:p w:rsidR="00392C20" w:rsidRPr="00691B2E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Пилбет</w:t>
                  </w:r>
                  <w:proofErr w:type="spell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- устройство внутренних перегородок, наружных стен.</w:t>
                  </w:r>
                </w:p>
                <w:p w:rsidR="00F47E7D" w:rsidRPr="00691B2E" w:rsidRDefault="00F47E7D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25. </w:t>
                  </w:r>
                  <w:r w:rsidRPr="00691B2E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Способ обеспечения исполнения обязательств застройщика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по договору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392C20" w:rsidRPr="00691B2E" w:rsidRDefault="00392C20" w:rsidP="00392C20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Залог земельного участка, предоставленного для строительства (создания) многоквартирного дома, принадлежащего застройщику на праве аренды,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392C20" w:rsidRPr="00691B2E" w:rsidRDefault="00392C20" w:rsidP="00392C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26. </w:t>
                  </w:r>
                  <w:r w:rsidRPr="00691B2E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      </w:r>
                  <w:r w:rsidRPr="00691B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 заключались</w:t>
                  </w:r>
                </w:p>
                <w:p w:rsidR="00BD589E" w:rsidRPr="00691B2E" w:rsidRDefault="00BD589E" w:rsidP="00BD589E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tbl>
                  <w:tblPr>
                    <w:tblpPr w:leftFromText="45" w:rightFromText="45" w:vertAnchor="text"/>
                    <w:tblW w:w="1006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5"/>
                  </w:tblGrid>
                  <w:tr w:rsidR="00333B23" w:rsidRPr="00691B2E" w:rsidTr="001F6D31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pPr w:leftFromText="45" w:rightFromText="45" w:vertAnchor="text"/>
                          <w:tblW w:w="1006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65"/>
                        </w:tblGrid>
                        <w:tr w:rsidR="00333B23" w:rsidRPr="00691B2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691B2E" w:rsidRDefault="00333B23" w:rsidP="00392C20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33B23" w:rsidRPr="00691B2E" w:rsidTr="009C5A6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bottom"/>
                              <w:hideMark/>
                            </w:tcPr>
                            <w:p w:rsidR="00333B23" w:rsidRPr="00691B2E" w:rsidRDefault="00333B23" w:rsidP="009C5A64">
                              <w:pPr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Verdana" w:eastAsia="Times New Roman" w:hAnsi="Verdana"/>
                                  <w:b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33B23" w:rsidRPr="00691B2E" w:rsidRDefault="00333B23" w:rsidP="009C5A64">
                        <w:pPr>
                          <w:spacing w:after="0" w:line="240" w:lineRule="auto"/>
                          <w:jc w:val="both"/>
                          <w:rPr>
                            <w:rFonts w:ascii="Verdana" w:eastAsia="Times New Roman" w:hAnsi="Verdana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16CC9" w:rsidRPr="00691B2E" w:rsidRDefault="00047D03" w:rsidP="009C5A64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691B2E">
                    <w:rPr>
                      <w:rFonts w:ascii="Verdana" w:hAnsi="Verdana"/>
                      <w:sz w:val="20"/>
                      <w:szCs w:val="20"/>
                    </w:rPr>
                    <w:t>Генеральный директор ООО «Норманн-Юг»                                      Копытин Н.Л.</w:t>
                  </w:r>
                </w:p>
              </w:tc>
            </w:tr>
            <w:tr w:rsidR="00DB3EF8" w:rsidRPr="00691B2E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691B2E" w:rsidRDefault="00DB3EF8" w:rsidP="009C5A6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6CC9" w:rsidRPr="00691B2E" w:rsidRDefault="00016CC9" w:rsidP="009C5A6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Pr="00BD589E" w:rsidRDefault="003C4AE8" w:rsidP="00047D03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D589E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0F" w:rsidRDefault="0067480F" w:rsidP="00055D0E">
      <w:pPr>
        <w:spacing w:after="0" w:line="240" w:lineRule="auto"/>
      </w:pPr>
      <w:r>
        <w:separator/>
      </w:r>
    </w:p>
  </w:endnote>
  <w:endnote w:type="continuationSeparator" w:id="0">
    <w:p w:rsidR="0067480F" w:rsidRDefault="0067480F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63" w:rsidRDefault="008366D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7B00">
      <w:rPr>
        <w:noProof/>
      </w:rPr>
      <w:t>2</w:t>
    </w:r>
    <w:r>
      <w:rPr>
        <w:noProof/>
      </w:rPr>
      <w:fldChar w:fldCharType="end"/>
    </w:r>
  </w:p>
  <w:p w:rsidR="00C46963" w:rsidRDefault="00C46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0F" w:rsidRDefault="0067480F" w:rsidP="00055D0E">
      <w:pPr>
        <w:spacing w:after="0" w:line="240" w:lineRule="auto"/>
      </w:pPr>
      <w:r>
        <w:separator/>
      </w:r>
    </w:p>
  </w:footnote>
  <w:footnote w:type="continuationSeparator" w:id="0">
    <w:p w:rsidR="0067480F" w:rsidRDefault="0067480F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1636"/>
    <w:rsid w:val="0000174D"/>
    <w:rsid w:val="00005B8E"/>
    <w:rsid w:val="00015542"/>
    <w:rsid w:val="00016CC9"/>
    <w:rsid w:val="00017B87"/>
    <w:rsid w:val="0002370E"/>
    <w:rsid w:val="00026616"/>
    <w:rsid w:val="000268CA"/>
    <w:rsid w:val="00030AAF"/>
    <w:rsid w:val="000325F0"/>
    <w:rsid w:val="000374B3"/>
    <w:rsid w:val="00041E61"/>
    <w:rsid w:val="000470BF"/>
    <w:rsid w:val="00047D03"/>
    <w:rsid w:val="00054DBC"/>
    <w:rsid w:val="00055D0E"/>
    <w:rsid w:val="00064A28"/>
    <w:rsid w:val="000A1259"/>
    <w:rsid w:val="000A2805"/>
    <w:rsid w:val="000A6B53"/>
    <w:rsid w:val="000B32A9"/>
    <w:rsid w:val="000B5D25"/>
    <w:rsid w:val="000C16FB"/>
    <w:rsid w:val="000C391A"/>
    <w:rsid w:val="000C3A68"/>
    <w:rsid w:val="000C64FA"/>
    <w:rsid w:val="000D0C15"/>
    <w:rsid w:val="000D43E1"/>
    <w:rsid w:val="000E3D28"/>
    <w:rsid w:val="000E7D9D"/>
    <w:rsid w:val="000F0A66"/>
    <w:rsid w:val="000F0FBE"/>
    <w:rsid w:val="000F1486"/>
    <w:rsid w:val="000F5199"/>
    <w:rsid w:val="000F5482"/>
    <w:rsid w:val="000F6B4D"/>
    <w:rsid w:val="00101164"/>
    <w:rsid w:val="00110170"/>
    <w:rsid w:val="0011189D"/>
    <w:rsid w:val="00111E06"/>
    <w:rsid w:val="0011684F"/>
    <w:rsid w:val="001232EE"/>
    <w:rsid w:val="00132C05"/>
    <w:rsid w:val="00134C49"/>
    <w:rsid w:val="0014364B"/>
    <w:rsid w:val="00156C42"/>
    <w:rsid w:val="0016461A"/>
    <w:rsid w:val="00164A66"/>
    <w:rsid w:val="001659C6"/>
    <w:rsid w:val="00170261"/>
    <w:rsid w:val="00186A5B"/>
    <w:rsid w:val="00194495"/>
    <w:rsid w:val="001A2F69"/>
    <w:rsid w:val="001B1BBA"/>
    <w:rsid w:val="001C76A1"/>
    <w:rsid w:val="001D0FCD"/>
    <w:rsid w:val="001D37E5"/>
    <w:rsid w:val="001D7A27"/>
    <w:rsid w:val="001E1C2B"/>
    <w:rsid w:val="001E3157"/>
    <w:rsid w:val="001F27E0"/>
    <w:rsid w:val="001F54A0"/>
    <w:rsid w:val="001F6D31"/>
    <w:rsid w:val="00201D2E"/>
    <w:rsid w:val="00201E33"/>
    <w:rsid w:val="002162F1"/>
    <w:rsid w:val="002239C0"/>
    <w:rsid w:val="00224E07"/>
    <w:rsid w:val="00225E9B"/>
    <w:rsid w:val="002441D4"/>
    <w:rsid w:val="00245E74"/>
    <w:rsid w:val="0024796F"/>
    <w:rsid w:val="0025032B"/>
    <w:rsid w:val="002536D0"/>
    <w:rsid w:val="00253FFC"/>
    <w:rsid w:val="0025528A"/>
    <w:rsid w:val="00264421"/>
    <w:rsid w:val="00264AD6"/>
    <w:rsid w:val="002921F3"/>
    <w:rsid w:val="002938BE"/>
    <w:rsid w:val="002A0750"/>
    <w:rsid w:val="002A0850"/>
    <w:rsid w:val="002B3C60"/>
    <w:rsid w:val="002C03DD"/>
    <w:rsid w:val="002C094C"/>
    <w:rsid w:val="002C1515"/>
    <w:rsid w:val="002C1E22"/>
    <w:rsid w:val="002C3CDF"/>
    <w:rsid w:val="002C449E"/>
    <w:rsid w:val="002C5820"/>
    <w:rsid w:val="002C68EE"/>
    <w:rsid w:val="002C7AE5"/>
    <w:rsid w:val="002D2D2A"/>
    <w:rsid w:val="002E567C"/>
    <w:rsid w:val="002E6004"/>
    <w:rsid w:val="002E6ADE"/>
    <w:rsid w:val="002F01FA"/>
    <w:rsid w:val="002F229D"/>
    <w:rsid w:val="002F4F92"/>
    <w:rsid w:val="002F64E9"/>
    <w:rsid w:val="00321E12"/>
    <w:rsid w:val="003244D5"/>
    <w:rsid w:val="003316D4"/>
    <w:rsid w:val="00333434"/>
    <w:rsid w:val="00333B23"/>
    <w:rsid w:val="003372D1"/>
    <w:rsid w:val="00343E78"/>
    <w:rsid w:val="00347E6F"/>
    <w:rsid w:val="00350B44"/>
    <w:rsid w:val="003611E2"/>
    <w:rsid w:val="0036361B"/>
    <w:rsid w:val="00367C71"/>
    <w:rsid w:val="00377280"/>
    <w:rsid w:val="00377BE8"/>
    <w:rsid w:val="00380D82"/>
    <w:rsid w:val="0038370C"/>
    <w:rsid w:val="00392C20"/>
    <w:rsid w:val="00392E07"/>
    <w:rsid w:val="003974EF"/>
    <w:rsid w:val="003A2E2F"/>
    <w:rsid w:val="003A6B9C"/>
    <w:rsid w:val="003B271A"/>
    <w:rsid w:val="003C07BE"/>
    <w:rsid w:val="003C3E92"/>
    <w:rsid w:val="003C4AE8"/>
    <w:rsid w:val="003C4C75"/>
    <w:rsid w:val="003D2922"/>
    <w:rsid w:val="003E5E6E"/>
    <w:rsid w:val="003E6CEC"/>
    <w:rsid w:val="003F7434"/>
    <w:rsid w:val="00404B8C"/>
    <w:rsid w:val="0040539D"/>
    <w:rsid w:val="00407A98"/>
    <w:rsid w:val="00412848"/>
    <w:rsid w:val="00413CEE"/>
    <w:rsid w:val="00413EE1"/>
    <w:rsid w:val="004170FE"/>
    <w:rsid w:val="00422FDC"/>
    <w:rsid w:val="00441229"/>
    <w:rsid w:val="004427A7"/>
    <w:rsid w:val="004455D8"/>
    <w:rsid w:val="00454C09"/>
    <w:rsid w:val="004614A5"/>
    <w:rsid w:val="00464FB4"/>
    <w:rsid w:val="004659B3"/>
    <w:rsid w:val="00465EEA"/>
    <w:rsid w:val="00481CF5"/>
    <w:rsid w:val="00482234"/>
    <w:rsid w:val="00482F89"/>
    <w:rsid w:val="004854C9"/>
    <w:rsid w:val="004907AA"/>
    <w:rsid w:val="00490EBA"/>
    <w:rsid w:val="00496952"/>
    <w:rsid w:val="00497D4D"/>
    <w:rsid w:val="004A3F6B"/>
    <w:rsid w:val="004B06F6"/>
    <w:rsid w:val="004B7057"/>
    <w:rsid w:val="004D2F58"/>
    <w:rsid w:val="004E4B0F"/>
    <w:rsid w:val="004E4CA6"/>
    <w:rsid w:val="00513B0F"/>
    <w:rsid w:val="00517445"/>
    <w:rsid w:val="00521E8E"/>
    <w:rsid w:val="0052395D"/>
    <w:rsid w:val="0052679B"/>
    <w:rsid w:val="00527274"/>
    <w:rsid w:val="005301DC"/>
    <w:rsid w:val="00534396"/>
    <w:rsid w:val="005379B8"/>
    <w:rsid w:val="00541AED"/>
    <w:rsid w:val="00553067"/>
    <w:rsid w:val="00554729"/>
    <w:rsid w:val="00562A70"/>
    <w:rsid w:val="00564A87"/>
    <w:rsid w:val="00567966"/>
    <w:rsid w:val="005703A1"/>
    <w:rsid w:val="00575C4E"/>
    <w:rsid w:val="00577CF4"/>
    <w:rsid w:val="005865AA"/>
    <w:rsid w:val="00587033"/>
    <w:rsid w:val="0059107B"/>
    <w:rsid w:val="00592836"/>
    <w:rsid w:val="00592A19"/>
    <w:rsid w:val="005936DE"/>
    <w:rsid w:val="005939E4"/>
    <w:rsid w:val="005A2C75"/>
    <w:rsid w:val="005A4569"/>
    <w:rsid w:val="005C23DB"/>
    <w:rsid w:val="005C2627"/>
    <w:rsid w:val="005C7AB4"/>
    <w:rsid w:val="005D00D4"/>
    <w:rsid w:val="005D0EF1"/>
    <w:rsid w:val="005D489E"/>
    <w:rsid w:val="005E2108"/>
    <w:rsid w:val="005F63F7"/>
    <w:rsid w:val="00600F3D"/>
    <w:rsid w:val="0061492D"/>
    <w:rsid w:val="00616DDE"/>
    <w:rsid w:val="006238E2"/>
    <w:rsid w:val="00630AA8"/>
    <w:rsid w:val="00631D23"/>
    <w:rsid w:val="0063535A"/>
    <w:rsid w:val="006365CB"/>
    <w:rsid w:val="0064285F"/>
    <w:rsid w:val="00645D4B"/>
    <w:rsid w:val="0065064D"/>
    <w:rsid w:val="00651123"/>
    <w:rsid w:val="0065196C"/>
    <w:rsid w:val="00652176"/>
    <w:rsid w:val="00652B7D"/>
    <w:rsid w:val="0065563D"/>
    <w:rsid w:val="00662699"/>
    <w:rsid w:val="00672422"/>
    <w:rsid w:val="0067480F"/>
    <w:rsid w:val="0067562E"/>
    <w:rsid w:val="00684A92"/>
    <w:rsid w:val="00691B2E"/>
    <w:rsid w:val="00696FE8"/>
    <w:rsid w:val="006A430C"/>
    <w:rsid w:val="006A6F1F"/>
    <w:rsid w:val="006B0CF9"/>
    <w:rsid w:val="006B4D88"/>
    <w:rsid w:val="006B6B24"/>
    <w:rsid w:val="006D15BB"/>
    <w:rsid w:val="006F0E6E"/>
    <w:rsid w:val="006F1615"/>
    <w:rsid w:val="006F6CFE"/>
    <w:rsid w:val="00702F1F"/>
    <w:rsid w:val="00703FAB"/>
    <w:rsid w:val="007062B9"/>
    <w:rsid w:val="00707342"/>
    <w:rsid w:val="00715462"/>
    <w:rsid w:val="00715A00"/>
    <w:rsid w:val="0072167D"/>
    <w:rsid w:val="007306FC"/>
    <w:rsid w:val="00731D85"/>
    <w:rsid w:val="00732E61"/>
    <w:rsid w:val="00736461"/>
    <w:rsid w:val="00741560"/>
    <w:rsid w:val="007633B7"/>
    <w:rsid w:val="007733FE"/>
    <w:rsid w:val="0077651A"/>
    <w:rsid w:val="00787F53"/>
    <w:rsid w:val="00790B62"/>
    <w:rsid w:val="007A1A33"/>
    <w:rsid w:val="007A6AD1"/>
    <w:rsid w:val="007B3021"/>
    <w:rsid w:val="007B4F66"/>
    <w:rsid w:val="007B758A"/>
    <w:rsid w:val="007B7A02"/>
    <w:rsid w:val="007C2DFB"/>
    <w:rsid w:val="007C779C"/>
    <w:rsid w:val="007D2C41"/>
    <w:rsid w:val="007D3E76"/>
    <w:rsid w:val="007D4653"/>
    <w:rsid w:val="007D58B6"/>
    <w:rsid w:val="007F184E"/>
    <w:rsid w:val="007F1E5B"/>
    <w:rsid w:val="007F2C0F"/>
    <w:rsid w:val="007F7B65"/>
    <w:rsid w:val="00802C86"/>
    <w:rsid w:val="008032FA"/>
    <w:rsid w:val="0080477B"/>
    <w:rsid w:val="00806455"/>
    <w:rsid w:val="00810B7A"/>
    <w:rsid w:val="008176D8"/>
    <w:rsid w:val="0082647C"/>
    <w:rsid w:val="00826ED9"/>
    <w:rsid w:val="008333AD"/>
    <w:rsid w:val="00833505"/>
    <w:rsid w:val="008338F1"/>
    <w:rsid w:val="00834C55"/>
    <w:rsid w:val="008366D8"/>
    <w:rsid w:val="00836C4D"/>
    <w:rsid w:val="00842C53"/>
    <w:rsid w:val="00843DC1"/>
    <w:rsid w:val="008506A2"/>
    <w:rsid w:val="0085197A"/>
    <w:rsid w:val="00852460"/>
    <w:rsid w:val="0085249C"/>
    <w:rsid w:val="00854EE6"/>
    <w:rsid w:val="00857929"/>
    <w:rsid w:val="008618FC"/>
    <w:rsid w:val="00877388"/>
    <w:rsid w:val="00877B00"/>
    <w:rsid w:val="00877BB5"/>
    <w:rsid w:val="00881211"/>
    <w:rsid w:val="008842D2"/>
    <w:rsid w:val="00891075"/>
    <w:rsid w:val="008A5661"/>
    <w:rsid w:val="008B3D30"/>
    <w:rsid w:val="008B3D80"/>
    <w:rsid w:val="008B4FCD"/>
    <w:rsid w:val="008C595F"/>
    <w:rsid w:val="008D5AD0"/>
    <w:rsid w:val="008E017D"/>
    <w:rsid w:val="008E2A85"/>
    <w:rsid w:val="008F5F84"/>
    <w:rsid w:val="008F6BEB"/>
    <w:rsid w:val="00910620"/>
    <w:rsid w:val="0091330B"/>
    <w:rsid w:val="00920EFE"/>
    <w:rsid w:val="009213E7"/>
    <w:rsid w:val="00923F56"/>
    <w:rsid w:val="0093578A"/>
    <w:rsid w:val="009401F2"/>
    <w:rsid w:val="0094031D"/>
    <w:rsid w:val="0094464B"/>
    <w:rsid w:val="00947E7E"/>
    <w:rsid w:val="00951A60"/>
    <w:rsid w:val="009529B8"/>
    <w:rsid w:val="00960FDA"/>
    <w:rsid w:val="009615D4"/>
    <w:rsid w:val="00972910"/>
    <w:rsid w:val="00974E5D"/>
    <w:rsid w:val="009770C8"/>
    <w:rsid w:val="00983283"/>
    <w:rsid w:val="0098749B"/>
    <w:rsid w:val="0099083B"/>
    <w:rsid w:val="009A0290"/>
    <w:rsid w:val="009A550D"/>
    <w:rsid w:val="009A5B72"/>
    <w:rsid w:val="009A79E8"/>
    <w:rsid w:val="009A7BDC"/>
    <w:rsid w:val="009B032A"/>
    <w:rsid w:val="009B25CF"/>
    <w:rsid w:val="009B2CE8"/>
    <w:rsid w:val="009B7EB3"/>
    <w:rsid w:val="009C5A64"/>
    <w:rsid w:val="009C6079"/>
    <w:rsid w:val="009D04F4"/>
    <w:rsid w:val="009D1D72"/>
    <w:rsid w:val="009E0C22"/>
    <w:rsid w:val="009E3398"/>
    <w:rsid w:val="009E38ED"/>
    <w:rsid w:val="009E7D26"/>
    <w:rsid w:val="009F33D1"/>
    <w:rsid w:val="009F58ED"/>
    <w:rsid w:val="009F6DB4"/>
    <w:rsid w:val="009F77A5"/>
    <w:rsid w:val="00A00013"/>
    <w:rsid w:val="00A00ED9"/>
    <w:rsid w:val="00A0547E"/>
    <w:rsid w:val="00A132FF"/>
    <w:rsid w:val="00A146F1"/>
    <w:rsid w:val="00A218AA"/>
    <w:rsid w:val="00A32B6F"/>
    <w:rsid w:val="00A32D1D"/>
    <w:rsid w:val="00A33106"/>
    <w:rsid w:val="00A45F66"/>
    <w:rsid w:val="00A4641B"/>
    <w:rsid w:val="00A51053"/>
    <w:rsid w:val="00A548FF"/>
    <w:rsid w:val="00A64D59"/>
    <w:rsid w:val="00A67F34"/>
    <w:rsid w:val="00A7067F"/>
    <w:rsid w:val="00A713A7"/>
    <w:rsid w:val="00A76098"/>
    <w:rsid w:val="00A7700A"/>
    <w:rsid w:val="00A84DC6"/>
    <w:rsid w:val="00A91692"/>
    <w:rsid w:val="00AA0D3E"/>
    <w:rsid w:val="00AA27D2"/>
    <w:rsid w:val="00AA3499"/>
    <w:rsid w:val="00AA5D9C"/>
    <w:rsid w:val="00AC0101"/>
    <w:rsid w:val="00AC0E41"/>
    <w:rsid w:val="00AC2FE4"/>
    <w:rsid w:val="00AC4ABB"/>
    <w:rsid w:val="00AD059B"/>
    <w:rsid w:val="00AD2045"/>
    <w:rsid w:val="00AD4D87"/>
    <w:rsid w:val="00AD5795"/>
    <w:rsid w:val="00AF4F73"/>
    <w:rsid w:val="00AF5DF1"/>
    <w:rsid w:val="00AF7965"/>
    <w:rsid w:val="00B020C5"/>
    <w:rsid w:val="00B022F6"/>
    <w:rsid w:val="00B10CD5"/>
    <w:rsid w:val="00B13F55"/>
    <w:rsid w:val="00B2264F"/>
    <w:rsid w:val="00B30DB8"/>
    <w:rsid w:val="00B34E56"/>
    <w:rsid w:val="00B4434E"/>
    <w:rsid w:val="00B46110"/>
    <w:rsid w:val="00B46C88"/>
    <w:rsid w:val="00B72234"/>
    <w:rsid w:val="00B727ED"/>
    <w:rsid w:val="00B8122D"/>
    <w:rsid w:val="00B822B8"/>
    <w:rsid w:val="00B90A9D"/>
    <w:rsid w:val="00B921F0"/>
    <w:rsid w:val="00B96E23"/>
    <w:rsid w:val="00B97BE2"/>
    <w:rsid w:val="00BA6841"/>
    <w:rsid w:val="00BB2140"/>
    <w:rsid w:val="00BB6482"/>
    <w:rsid w:val="00BB724D"/>
    <w:rsid w:val="00BC1786"/>
    <w:rsid w:val="00BC2639"/>
    <w:rsid w:val="00BC45FC"/>
    <w:rsid w:val="00BC5B18"/>
    <w:rsid w:val="00BC717C"/>
    <w:rsid w:val="00BD2287"/>
    <w:rsid w:val="00BD2FBF"/>
    <w:rsid w:val="00BD47A3"/>
    <w:rsid w:val="00BD589E"/>
    <w:rsid w:val="00BE0EFA"/>
    <w:rsid w:val="00BE26B6"/>
    <w:rsid w:val="00BF14D4"/>
    <w:rsid w:val="00BF4724"/>
    <w:rsid w:val="00C0218C"/>
    <w:rsid w:val="00C0498C"/>
    <w:rsid w:val="00C13765"/>
    <w:rsid w:val="00C13F6E"/>
    <w:rsid w:val="00C208D6"/>
    <w:rsid w:val="00C220BF"/>
    <w:rsid w:val="00C26CF6"/>
    <w:rsid w:val="00C31710"/>
    <w:rsid w:val="00C3175D"/>
    <w:rsid w:val="00C333A5"/>
    <w:rsid w:val="00C33E77"/>
    <w:rsid w:val="00C45BB0"/>
    <w:rsid w:val="00C46963"/>
    <w:rsid w:val="00C533D7"/>
    <w:rsid w:val="00C55A37"/>
    <w:rsid w:val="00C55ED2"/>
    <w:rsid w:val="00C56CF9"/>
    <w:rsid w:val="00C57B7A"/>
    <w:rsid w:val="00C60D0B"/>
    <w:rsid w:val="00C61B6F"/>
    <w:rsid w:val="00C6280B"/>
    <w:rsid w:val="00C66BE3"/>
    <w:rsid w:val="00C7242F"/>
    <w:rsid w:val="00C7427B"/>
    <w:rsid w:val="00C929DE"/>
    <w:rsid w:val="00C96621"/>
    <w:rsid w:val="00C96E74"/>
    <w:rsid w:val="00CA05E5"/>
    <w:rsid w:val="00CA19F7"/>
    <w:rsid w:val="00CA62FB"/>
    <w:rsid w:val="00CB12ED"/>
    <w:rsid w:val="00CB1C60"/>
    <w:rsid w:val="00CC5BEE"/>
    <w:rsid w:val="00CD1145"/>
    <w:rsid w:val="00CD344D"/>
    <w:rsid w:val="00CD4529"/>
    <w:rsid w:val="00CE1A8A"/>
    <w:rsid w:val="00CE43C8"/>
    <w:rsid w:val="00CE50A3"/>
    <w:rsid w:val="00CE6240"/>
    <w:rsid w:val="00CF12A5"/>
    <w:rsid w:val="00CF1B8D"/>
    <w:rsid w:val="00CF26A2"/>
    <w:rsid w:val="00CF2908"/>
    <w:rsid w:val="00CF413A"/>
    <w:rsid w:val="00CF5691"/>
    <w:rsid w:val="00D03517"/>
    <w:rsid w:val="00D04FA0"/>
    <w:rsid w:val="00D0599C"/>
    <w:rsid w:val="00D139EF"/>
    <w:rsid w:val="00D17B13"/>
    <w:rsid w:val="00D24698"/>
    <w:rsid w:val="00D24714"/>
    <w:rsid w:val="00D25BE4"/>
    <w:rsid w:val="00D2700C"/>
    <w:rsid w:val="00D41BA3"/>
    <w:rsid w:val="00D459AC"/>
    <w:rsid w:val="00D46031"/>
    <w:rsid w:val="00D63EF8"/>
    <w:rsid w:val="00D64250"/>
    <w:rsid w:val="00D71365"/>
    <w:rsid w:val="00D731FB"/>
    <w:rsid w:val="00D81A5B"/>
    <w:rsid w:val="00D824E8"/>
    <w:rsid w:val="00D84807"/>
    <w:rsid w:val="00D86BD2"/>
    <w:rsid w:val="00D94637"/>
    <w:rsid w:val="00DA65A8"/>
    <w:rsid w:val="00DB3EF8"/>
    <w:rsid w:val="00DB7171"/>
    <w:rsid w:val="00DD0F82"/>
    <w:rsid w:val="00DD54B0"/>
    <w:rsid w:val="00DE1AFD"/>
    <w:rsid w:val="00DF2BF2"/>
    <w:rsid w:val="00DF75E2"/>
    <w:rsid w:val="00E0558B"/>
    <w:rsid w:val="00E11681"/>
    <w:rsid w:val="00E12612"/>
    <w:rsid w:val="00E13BEC"/>
    <w:rsid w:val="00E14E59"/>
    <w:rsid w:val="00E26DED"/>
    <w:rsid w:val="00E512F9"/>
    <w:rsid w:val="00E53FCB"/>
    <w:rsid w:val="00E622DD"/>
    <w:rsid w:val="00E73F92"/>
    <w:rsid w:val="00E97624"/>
    <w:rsid w:val="00EA469E"/>
    <w:rsid w:val="00EB0F96"/>
    <w:rsid w:val="00EB103B"/>
    <w:rsid w:val="00EB12FC"/>
    <w:rsid w:val="00EE3CCD"/>
    <w:rsid w:val="00EF3BDC"/>
    <w:rsid w:val="00EF6291"/>
    <w:rsid w:val="00F0227E"/>
    <w:rsid w:val="00F02BA2"/>
    <w:rsid w:val="00F059B4"/>
    <w:rsid w:val="00F129DC"/>
    <w:rsid w:val="00F235FD"/>
    <w:rsid w:val="00F237F9"/>
    <w:rsid w:val="00F2490D"/>
    <w:rsid w:val="00F31CB4"/>
    <w:rsid w:val="00F32ED3"/>
    <w:rsid w:val="00F33418"/>
    <w:rsid w:val="00F33452"/>
    <w:rsid w:val="00F33972"/>
    <w:rsid w:val="00F4304E"/>
    <w:rsid w:val="00F4551F"/>
    <w:rsid w:val="00F47E7D"/>
    <w:rsid w:val="00F51699"/>
    <w:rsid w:val="00F53622"/>
    <w:rsid w:val="00F6315E"/>
    <w:rsid w:val="00F655FB"/>
    <w:rsid w:val="00F65D3C"/>
    <w:rsid w:val="00F70437"/>
    <w:rsid w:val="00F74D28"/>
    <w:rsid w:val="00F77C0A"/>
    <w:rsid w:val="00F820D0"/>
    <w:rsid w:val="00F84DEE"/>
    <w:rsid w:val="00F8612A"/>
    <w:rsid w:val="00F9098D"/>
    <w:rsid w:val="00F91EC9"/>
    <w:rsid w:val="00F96EEC"/>
    <w:rsid w:val="00FA17E2"/>
    <w:rsid w:val="00FA2D30"/>
    <w:rsid w:val="00FA3B08"/>
    <w:rsid w:val="00FB1BD0"/>
    <w:rsid w:val="00FC5032"/>
    <w:rsid w:val="00FC6C91"/>
    <w:rsid w:val="00FC6DFC"/>
    <w:rsid w:val="00FD06C0"/>
    <w:rsid w:val="00FD1DA4"/>
    <w:rsid w:val="00FD294B"/>
    <w:rsid w:val="00FD6AB8"/>
    <w:rsid w:val="00FD792D"/>
    <w:rsid w:val="00FE06AF"/>
    <w:rsid w:val="00FE1B2F"/>
    <w:rsid w:val="00F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2F00-04D8-4331-BFE0-5EAFC53E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11</cp:revision>
  <cp:lastPrinted>2014-05-07T07:38:00Z</cp:lastPrinted>
  <dcterms:created xsi:type="dcterms:W3CDTF">2016-11-03T13:31:00Z</dcterms:created>
  <dcterms:modified xsi:type="dcterms:W3CDTF">2016-11-03T13:40:00Z</dcterms:modified>
</cp:coreProperties>
</file>